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  <w:contextualSpacing w:val="false"/>
        <w:jc w:val="center"/>
      </w:pPr>
      <w:r>
        <w:rPr>
          <w:rFonts w:ascii="Verdana" w:cs="Times New Roman" w:eastAsia="Times New Roman" w:hAnsi="Verdana"/>
          <w:b/>
          <w:bCs/>
          <w:sz w:val="18"/>
          <w:lang w:eastAsia="tr-TR"/>
        </w:rPr>
        <w:t>FOÇA MAL MÜDÜRLÜĞÜ</w:t>
      </w:r>
      <w:r>
        <w:rPr>
          <w:rFonts w:ascii="Verdana" w:cs="Times New Roman" w:eastAsia="Times New Roman" w:hAnsi="Verdana"/>
          <w:b/>
          <w:bCs/>
          <w:sz w:val="18"/>
          <w:szCs w:val="18"/>
          <w:lang w:eastAsia="tr-TR"/>
        </w:rPr>
        <w:br/>
        <w:br/>
        <w:br/>
        <w:br/>
      </w:r>
      <w:r>
        <w:rPr>
          <w:rFonts w:ascii="Verdana" w:cs="Times New Roman" w:eastAsia="Times New Roman" w:hAnsi="Verdana"/>
          <w:b/>
          <w:bCs/>
          <w:sz w:val="18"/>
          <w:lang w:eastAsia="tr-TR"/>
        </w:rPr>
        <w:t>KAMU HİZMETLERİ STANDARTLARI TABLOSU</w:t>
      </w:r>
    </w:p>
    <w:tbl>
      <w:tblPr>
        <w:jc w:val="left"/>
        <w:tblInd w:type="dxa" w:w="40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A" w:space="0" w:sz="8" w:val="single"/>
          <w:insideV w:color="00000A" w:space="0" w:sz="8" w:val="single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396"/>
        <w:gridCol w:w="2259"/>
        <w:gridCol w:w="3860"/>
        <w:gridCol w:w="2696"/>
      </w:tblGrid>
      <w:tr>
        <w:trPr>
          <w:cantSplit w:val="false"/>
        </w:trPr>
        <w:tc>
          <w:tcPr>
            <w:tcW w:type="dxa" w:w="39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24"/>
                <w:szCs w:val="24"/>
                <w:lang w:eastAsia="tr-TR"/>
              </w:rPr>
            </w:r>
          </w:p>
        </w:tc>
        <w:tc>
          <w:tcPr>
            <w:tcW w:type="dxa" w:w="2259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HİZMETİN ADI</w:t>
            </w:r>
          </w:p>
        </w:tc>
        <w:tc>
          <w:tcPr>
            <w:tcW w:type="dxa" w:w="3860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BAŞVURUDA İSTENEN BELGELER</w:t>
            </w:r>
          </w:p>
        </w:tc>
        <w:tc>
          <w:tcPr>
            <w:tcW w:type="dxa" w:w="2696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Hizmetin Tamamlanma Süresi(Engeç)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01</w:t>
            </w:r>
          </w:p>
        </w:tc>
        <w:tc>
          <w:tcPr>
            <w:tcW w:type="dxa" w:w="2259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ÖDEME YAPILMASI</w:t>
            </w:r>
          </w:p>
        </w:tc>
        <w:tc>
          <w:tcPr>
            <w:tcW w:type="dxa" w:w="3860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18"/>
                <w:szCs w:val="18"/>
                <w:lang w:eastAsia="tr-TR"/>
              </w:rPr>
              <w:t>Giderin Çeşidine göre Merkezi Yönetim Harcama Belgeleri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18"/>
                <w:szCs w:val="18"/>
                <w:lang w:eastAsia="tr-TR"/>
              </w:rPr>
              <w:t>Yönetmeliğinde belirtilen belgeler</w:t>
            </w:r>
          </w:p>
        </w:tc>
        <w:tc>
          <w:tcPr>
            <w:tcW w:type="dxa" w:w="2696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2 ile 4  GÜN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02</w:t>
            </w:r>
          </w:p>
        </w:tc>
        <w:tc>
          <w:tcPr>
            <w:tcW w:type="dxa" w:w="2259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TAHSİLAT YAPILMASI</w:t>
            </w:r>
          </w:p>
        </w:tc>
        <w:tc>
          <w:tcPr>
            <w:tcW w:type="dxa" w:w="3860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18"/>
                <w:szCs w:val="18"/>
                <w:lang w:eastAsia="tr-TR"/>
              </w:rPr>
              <w:t>Tahsilatı gerekli gören idarenin yazısı</w:t>
            </w:r>
          </w:p>
        </w:tc>
        <w:tc>
          <w:tcPr>
            <w:tcW w:type="dxa" w:w="2696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Aynı  Gün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03</w:t>
            </w:r>
          </w:p>
        </w:tc>
        <w:tc>
          <w:tcPr>
            <w:tcW w:type="dxa" w:w="2259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EMANET İŞLEMLERİ</w:t>
            </w:r>
          </w:p>
        </w:tc>
        <w:tc>
          <w:tcPr>
            <w:tcW w:type="dxa" w:w="3860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18"/>
                <w:szCs w:val="18"/>
                <w:lang w:eastAsia="tr-TR"/>
              </w:rPr>
              <w:t>1-Emanet tahsilatına dair ilgili dairenin yazısı.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18"/>
                <w:szCs w:val="18"/>
                <w:lang w:eastAsia="tr-TR"/>
              </w:rPr>
              <w:t>2-Kanunen emanete alınması gereken miktarlara ilişkin belgeler</w:t>
            </w:r>
          </w:p>
        </w:tc>
        <w:tc>
          <w:tcPr>
            <w:tcW w:type="dxa" w:w="2696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Aynı  Gün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04</w:t>
            </w:r>
          </w:p>
        </w:tc>
        <w:tc>
          <w:tcPr>
            <w:tcW w:type="dxa" w:w="2259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YAŞLILIK VE ÖZÜRLÜ</w:t>
            </w:r>
          </w:p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MAAŞLARI(2022 S.Yasa)</w:t>
            </w:r>
          </w:p>
        </w:tc>
        <w:tc>
          <w:tcPr>
            <w:tcW w:type="dxa" w:w="3860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18"/>
                <w:szCs w:val="18"/>
                <w:lang w:eastAsia="tr-TR"/>
              </w:rPr>
              <w:t>Nüfus Cüzdanı ve dilekçe</w:t>
            </w:r>
          </w:p>
        </w:tc>
        <w:tc>
          <w:tcPr>
            <w:tcW w:type="dxa" w:w="2696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İlçemiz sınırları içinde 3-5 gün</w:t>
            </w:r>
          </w:p>
        </w:tc>
      </w:tr>
      <w:tr>
        <w:trPr>
          <w:cantSplit w:val="false"/>
        </w:trPr>
        <w:tc>
          <w:tcPr>
            <w:tcW w:type="dxa" w:w="396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05</w:t>
            </w:r>
          </w:p>
        </w:tc>
        <w:tc>
          <w:tcPr>
            <w:tcW w:type="dxa" w:w="2259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DEĞERLİ KAĞIT SATIŞI</w:t>
            </w:r>
          </w:p>
        </w:tc>
        <w:tc>
          <w:tcPr>
            <w:tcW w:type="dxa" w:w="3860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sz w:val="18"/>
                <w:szCs w:val="18"/>
                <w:lang w:eastAsia="tr-TR"/>
              </w:rPr>
              <w:t>İlgili idarenin yazısı</w:t>
            </w:r>
          </w:p>
        </w:tc>
        <w:tc>
          <w:tcPr>
            <w:tcW w:type="dxa" w:w="2696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</w:tcPr>
          <w:p>
            <w:pPr>
              <w:pStyle w:val="style0"/>
              <w:spacing w:after="28" w:before="28" w:line="100" w:lineRule="atLeast"/>
              <w:contextualSpacing w:val="false"/>
            </w:pPr>
            <w:r>
              <w:rPr>
                <w:rFonts w:ascii="Verdana" w:cs="Times New Roman" w:eastAsia="Times New Roman" w:hAnsi="Verdana"/>
                <w:b/>
                <w:bCs/>
                <w:sz w:val="18"/>
                <w:szCs w:val="18"/>
                <w:lang w:eastAsia="tr-TR"/>
              </w:rPr>
              <w:t>Aynı  Gün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Calibri">
    <w:charset w:val="a2"/>
    <w:family w:val="roman"/>
    <w:pitch w:val="variable"/>
  </w:font>
  <w:font w:name="Arial">
    <w:charset w:val="a2"/>
    <w:family w:val="swiss"/>
    <w:pitch w:val="variable"/>
  </w:font>
  <w:font w:name="Verdana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arsayılan Biçem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tr-TR"/>
    </w:rPr>
  </w:style>
  <w:style w:styleId="style15" w:type="character">
    <w:name w:val="Default Paragraph Font"/>
    <w:next w:val="style15"/>
    <w:rPr/>
  </w:style>
  <w:style w:styleId="style16" w:type="character">
    <w:name w:val="Kuvvetli Vurgu"/>
    <w:basedOn w:val="style15"/>
    <w:next w:val="style16"/>
    <w:rPr>
      <w:b/>
      <w:bCs/>
    </w:rPr>
  </w:style>
  <w:style w:styleId="style17" w:type="paragraph">
    <w:name w:val="Başlı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Metin Gövdesi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Resim Yazısı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Dizin"/>
    <w:basedOn w:val="style0"/>
    <w:next w:val="style21"/>
    <w:pPr>
      <w:suppressLineNumbers/>
    </w:pPr>
    <w:rPr>
      <w:rFonts w:cs="Mangal"/>
    </w:rPr>
  </w:style>
  <w:style w:styleId="style22" w:type="paragraph">
    <w:name w:val="Normal (Web)"/>
    <w:basedOn w:val="style0"/>
    <w:next w:val="style2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tr-T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2014-05-28T13:30:00.00Z</dcterms:created>
  <dc:creator>nasıf</dc:creator>
  <cp:lastModifiedBy>nasıf</cp:lastModifiedBy>
  <dcterms:modified xsi:type="dcterms:W3CDTF">2014-05-28T13:30:00.00Z</dcterms:modified>
  <cp:revision>1</cp:revision>
</cp:coreProperties>
</file>